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widowControl/>
        <w:spacing w:before="0" w:after="40" w:line="240" w:lineRule="auto"/>
      </w:pPr>
      <w:r>
        <w:rPr>
          <w:rFonts w:ascii="Arial" w:hAnsi="Arial"/>
          <w:b/>
          <w:color w:val="C85A4A"/>
          <w:sz w:val="16"/>
        </w:rPr>
        <w:t>PUBLIC-INTEREST AI  /  RELATIONAL SENSE-MAKING</w:t>
      </w:r>
    </w:p>
    <w:p>
      <w:pPr>
        <w:keepNext/>
        <w:widowControl/>
        <w:spacing w:before="0" w:after="30" w:line="228" w:lineRule="auto"/>
      </w:pPr>
      <w:r>
        <w:rPr>
          <w:rFonts w:ascii="Arial" w:hAnsi="Arial"/>
          <w:b/>
          <w:color w:val="183B4E"/>
          <w:sz w:val="48"/>
        </w:rPr>
        <w:t>Brenda &amp; Frank</w:t>
      </w:r>
    </w:p>
    <w:p>
      <w:pPr>
        <w:keepNext w:val="0"/>
        <w:widowControl/>
        <w:spacing w:before="0" w:after="140" w:line="254" w:lineRule="auto"/>
      </w:pPr>
      <w:r>
        <w:rPr>
          <w:rFonts w:ascii="Arial" w:hAnsi="Arial"/>
          <w:b/>
          <w:color w:val="52636B"/>
          <w:sz w:val="22"/>
        </w:rPr>
        <w:t>A free, reflective AI tool for clearer thinking about manipulation, power and emotionally complex situations.</w:t>
      </w:r>
    </w:p>
    <w:p>
      <w:pPr>
        <w:keepNext w:val="0"/>
        <w:widowControl/>
        <w:spacing w:before="0" w:after="110" w:line="264" w:lineRule="auto"/>
        <w:shd w:fill="E8F4F2" w:val="clear"/>
        <w:pBdr>
          <w:left w:val="single" w:sz="18" w:space="8" w:color="147D79"/>
        </w:pBdr>
      </w:pPr>
      <w:r>
        <w:rPr>
          <w:rFonts w:ascii="Arial" w:hAnsi="Arial"/>
          <w:b/>
          <w:color w:val="147D79"/>
          <w:sz w:val="19"/>
        </w:rPr>
        <w:t xml:space="preserve">The proposition  </w:t>
      </w:r>
      <w:r>
        <w:rPr>
          <w:rFonts w:ascii="Arial" w:hAnsi="Arial"/>
          <w:b/>
          <w:color w:val="18252B"/>
          <w:sz w:val="19"/>
        </w:rPr>
        <w:t>Support an already-used, non-extractive public-interest tool at the point where informal scale now requires formal stewardship, evaluation and infrastructure.</w:t>
      </w:r>
    </w:p>
    <w:p>
      <w:pPr>
        <w:pStyle w:val="Heading1"/>
        <w:keepNext/>
        <w:widowControl/>
        <w:spacing w:before="110" w:after="50" w:line="240" w:lineRule="auto"/>
      </w:pPr>
      <w:r>
        <w:rPr>
          <w:rFonts w:ascii="Arial" w:hAnsi="Arial"/>
          <w:b/>
          <w:color w:val="147D79"/>
          <w:sz w:val="20"/>
        </w:rPr>
        <w:t>THE PROBLEM IT SOLVES</w:t>
      </w:r>
    </w:p>
    <w:p>
      <w:pPr>
        <w:keepNext w:val="0"/>
        <w:widowControl/>
        <w:spacing w:before="0" w:after="50" w:line="264" w:lineRule="auto"/>
      </w:pPr>
      <w:r>
        <w:rPr>
          <w:rFonts w:ascii="Arial" w:hAnsi="Arial"/>
          <w:color w:val="18252B"/>
          <w:sz w:val="19"/>
        </w:rPr>
        <w:t>People facing coercion, betrayal, workplace conflict or institutional failure are often offered generic communication advice when they most need help to identify patterns, test their interpretation and separate evidence from self-doubt. Neutral framing can obscure power imbalances and leave the burden of sense-making with the person already carrying the harm.</w:t>
      </w:r>
    </w:p>
    <w:p>
      <w:pPr>
        <w:keepNext w:val="0"/>
        <w:widowControl/>
        <w:spacing w:before="0" w:after="100" w:line="264" w:lineRule="auto"/>
      </w:pPr>
      <w:r>
        <w:rPr>
          <w:rFonts w:ascii="Arial" w:hAnsi="Arial"/>
          <w:color w:val="18252B"/>
          <w:sz w:val="19"/>
        </w:rPr>
        <w:t>Brenda &amp; Frank is a relational, reflective and non-instructional GPT. Its two complementary voices combine emotional and relational attention with behavioural pattern analysis, helping users name what is happening without presenting therapy, diagnosis or legal advice.</w:t>
      </w:r>
    </w:p>
    <w:p>
      <w:pPr>
        <w:pStyle w:val="Heading1"/>
        <w:keepNext/>
        <w:widowControl/>
        <w:spacing w:before="110" w:after="50" w:line="240" w:lineRule="auto"/>
      </w:pPr>
      <w:r>
        <w:rPr>
          <w:rFonts w:ascii="Arial" w:hAnsi="Arial"/>
          <w:b/>
          <w:color w:val="147D79"/>
          <w:sz w:val="20"/>
        </w:rPr>
        <w:t>EVIDENCE OF REACH AND RELEVANCE</w:t>
      </w:r>
    </w:p>
    <w:tbl>
      <w:tblPr>
        <w:tblW w:type="dxa" w:w="9360"/>
        <w:jc w:val="left"/>
        <w:tblLayout w:type="fixed"/>
        <w:tblLook w:firstColumn="1" w:firstRow="1" w:lastColumn="0" w:lastRow="0" w:noHBand="0" w:noVBand="1" w:val="04A0"/>
        <w:tblInd w:w="120" w:type="dxa"/>
        <w:tblBorders>
          <w:top w:val="nil" w:sz="0" w:color="FFFFFF"/>
          <w:left w:val="nil" w:sz="0" w:color="FFFFFF"/>
          <w:bottom w:val="nil" w:sz="0" w:color="FFFFFF"/>
          <w:right w:val="nil" w:sz="0" w:color="FFFFFF"/>
          <w:insideH w:val="nil" w:sz="0" w:color="FFFFFF"/>
          <w:insideV w:val="nil" w:sz="0" w:color="FFFFFF"/>
        </w:tblBorders>
      </w:tblPr>
      <w:tblGrid>
        <w:gridCol w:w="3120"/>
        <w:gridCol w:w="3120"/>
        <w:gridCol w:w="3120"/>
      </w:tblGrid>
      <w:tr>
        <w:trPr>
          <w:tblHeader w:val="true"/>
        </w:trPr>
        <w:tc>
          <w:tcPr>
            <w:tcW w:type="dxa" w:w="3120"/>
            <w:vAlign w:val="center"/>
            <w:shd w:fill="EAF1F5" w:val="clear"/>
            <w:tcMar>
              <w:top w:w="100" w:type="dxa"/>
              <w:start w:w="150" w:type="dxa"/>
              <w:bottom w:w="105" w:type="dxa"/>
              <w:end w:w="150" w:type="dxa"/>
            </w:tcMar>
          </w:tcPr>
          <w:p>
            <w:pPr>
              <w:keepNext w:val="0"/>
              <w:widowControl/>
              <w:spacing w:before="0" w:after="0" w:line="240" w:lineRule="auto"/>
              <w:jc w:val="center"/>
            </w:pPr>
            <w:r>
              <w:rPr>
                <w:rFonts w:ascii="Arial" w:hAnsi="Arial"/>
                <w:b/>
                <w:color w:val="183B4E"/>
                <w:sz w:val="28"/>
              </w:rPr>
              <w:t>50,000+</w:t>
              <w:br/>
            </w:r>
            <w:r>
              <w:rPr>
                <w:rFonts w:ascii="Arial" w:hAnsi="Arial"/>
                <w:b/>
                <w:color w:val="52636B"/>
                <w:sz w:val="14"/>
              </w:rPr>
              <w:t>CONVERSATIONS</w:t>
            </w:r>
          </w:p>
        </w:tc>
        <w:tc>
          <w:tcPr>
            <w:tcW w:type="dxa" w:w="3120"/>
            <w:vAlign w:val="center"/>
            <w:shd w:fill="E8F4F2" w:val="clear"/>
            <w:tcMar>
              <w:top w:w="100" w:type="dxa"/>
              <w:start w:w="150" w:type="dxa"/>
              <w:bottom w:w="105" w:type="dxa"/>
              <w:end w:w="150" w:type="dxa"/>
            </w:tcMar>
          </w:tcPr>
          <w:p>
            <w:pPr>
              <w:keepNext w:val="0"/>
              <w:widowControl/>
              <w:spacing w:before="0" w:after="0" w:line="240" w:lineRule="auto"/>
              <w:jc w:val="center"/>
            </w:pPr>
            <w:r>
              <w:rPr>
                <w:rFonts w:ascii="Arial" w:hAnsi="Arial"/>
                <w:b/>
                <w:color w:val="183B4E"/>
                <w:sz w:val="28"/>
              </w:rPr>
              <w:t>500+</w:t>
              <w:br/>
            </w:r>
            <w:r>
              <w:rPr>
                <w:rFonts w:ascii="Arial" w:hAnsi="Arial"/>
                <w:b/>
                <w:color w:val="52636B"/>
                <w:sz w:val="14"/>
              </w:rPr>
              <w:t>RATINGS</w:t>
            </w:r>
          </w:p>
        </w:tc>
        <w:tc>
          <w:tcPr>
            <w:tcW w:type="dxa" w:w="3120"/>
            <w:vAlign w:val="center"/>
            <w:shd w:fill="F9EEEB" w:val="clear"/>
            <w:tcMar>
              <w:top w:w="100" w:type="dxa"/>
              <w:start w:w="150" w:type="dxa"/>
              <w:bottom w:w="105" w:type="dxa"/>
              <w:end w:w="150" w:type="dxa"/>
            </w:tcMar>
          </w:tcPr>
          <w:p>
            <w:pPr>
              <w:keepNext w:val="0"/>
              <w:widowControl/>
              <w:spacing w:before="0" w:after="0" w:line="240" w:lineRule="auto"/>
              <w:jc w:val="center"/>
            </w:pPr>
            <w:r>
              <w:rPr>
                <w:rFonts w:ascii="Arial" w:hAnsi="Arial"/>
                <w:b/>
                <w:color w:val="183B4E"/>
                <w:sz w:val="24"/>
              </w:rPr>
              <w:t>10,000-15,000</w:t>
              <w:br/>
            </w:r>
            <w:r>
              <w:rPr>
                <w:rFonts w:ascii="Arial" w:hAnsi="Arial"/>
                <w:b/>
                <w:color w:val="52636B"/>
                <w:sz w:val="14"/>
              </w:rPr>
              <w:t>ESTIMATED UNIQUE USERS</w:t>
            </w:r>
          </w:p>
        </w:tc>
      </w:tr>
    </w:tbl>
    <w:p>
      <w:pPr>
        <w:keepNext w:val="0"/>
        <w:widowControl/>
        <w:spacing w:before="60" w:after="90" w:line="259" w:lineRule="auto"/>
      </w:pPr>
      <w:r>
        <w:rPr>
          <w:rFonts w:ascii="Arial" w:hAnsi="Arial"/>
          <w:color w:val="52636B"/>
          <w:sz w:val="17"/>
        </w:rPr>
        <w:t>Creator-reported platform activity recorded in December 2025. Reported uses span relationship and employment disputes, court and tribunal preparation, complaints, neurodivergent translation and domestic-abuse-service contexts; use has travelled across countries, and the creator reports recommendation by some therapists. These are strong signals of demand and practical relevance. Independent outcome evaluation has not yet been completed - that is a priority for funding.</w:t>
      </w:r>
    </w:p>
    <w:p>
      <w:pPr>
        <w:pStyle w:val="Heading1"/>
        <w:keepNext/>
        <w:widowControl/>
        <w:spacing w:before="110" w:after="50" w:line="240" w:lineRule="auto"/>
      </w:pPr>
      <w:r>
        <w:rPr>
          <w:rFonts w:ascii="Arial" w:hAnsi="Arial"/>
          <w:b/>
          <w:color w:val="147D79"/>
          <w:sz w:val="20"/>
        </w:rPr>
        <w:t>WHY IT IS DISTINCTIVE</w:t>
      </w:r>
    </w:p>
    <w:p>
      <w:pPr>
        <w:keepNext w:val="0"/>
        <w:widowControl/>
        <w:spacing w:before="0" w:after="50" w:line="259" w:lineRule="auto"/>
      </w:pPr>
      <w:r>
        <w:rPr>
          <w:rFonts w:ascii="Arial" w:hAnsi="Arial"/>
          <w:b/>
          <w:color w:val="183B4E"/>
          <w:sz w:val="18"/>
        </w:rPr>
        <w:t xml:space="preserve">Power-literate, not falsely neutral. </w:t>
      </w:r>
      <w:r>
        <w:rPr>
          <w:rFonts w:ascii="Arial" w:hAnsi="Arial"/>
          <w:color w:val="18252B"/>
          <w:sz w:val="18"/>
        </w:rPr>
        <w:t>It reads for coercive control, blame-shifting, DARVO, gaslighting, burden displacement and institutional self-protection where the evidence supports them.</w:t>
      </w:r>
    </w:p>
    <w:p>
      <w:pPr>
        <w:keepNext w:val="0"/>
        <w:widowControl/>
        <w:spacing w:before="0" w:after="50" w:line="259" w:lineRule="auto"/>
      </w:pPr>
      <w:r>
        <w:rPr>
          <w:rFonts w:ascii="Arial" w:hAnsi="Arial"/>
          <w:b/>
          <w:color w:val="183B4E"/>
          <w:sz w:val="18"/>
        </w:rPr>
        <w:t xml:space="preserve">Two complementary lenses. </w:t>
      </w:r>
      <w:r>
        <w:rPr>
          <w:rFonts w:ascii="Arial" w:hAnsi="Arial"/>
          <w:color w:val="18252B"/>
          <w:sz w:val="18"/>
        </w:rPr>
        <w:t>Relational and emotional precision sits alongside forensic behavioural analysis, with clear separation between what is reported, what the material shows and what is inferred.</w:t>
      </w:r>
    </w:p>
    <w:p>
      <w:pPr>
        <w:keepNext w:val="0"/>
        <w:widowControl/>
        <w:spacing w:before="0" w:after="80" w:line="259" w:lineRule="auto"/>
      </w:pPr>
      <w:r>
        <w:rPr>
          <w:rFonts w:ascii="Arial" w:hAnsi="Arial"/>
          <w:b/>
          <w:color w:val="183B4E"/>
          <w:sz w:val="18"/>
        </w:rPr>
        <w:t xml:space="preserve">Access-first and bounded. </w:t>
      </w:r>
      <w:r>
        <w:rPr>
          <w:rFonts w:ascii="Arial" w:hAnsi="Arial"/>
          <w:color w:val="18252B"/>
          <w:sz w:val="18"/>
        </w:rPr>
        <w:t>The project is free and will not introduce paywalls or tiered access. Funding supports responsible stewardship, not charging people in distress for clarity.</w:t>
      </w:r>
    </w:p>
    <w:p>
      <w:pPr>
        <w:pStyle w:val="Heading1"/>
        <w:keepNext/>
        <w:widowControl/>
        <w:spacing w:before="110" w:after="50" w:line="240" w:lineRule="auto"/>
      </w:pPr>
      <w:r>
        <w:rPr>
          <w:rFonts w:ascii="Arial" w:hAnsi="Arial"/>
          <w:b/>
          <w:color w:val="147D79"/>
          <w:sz w:val="20"/>
        </w:rPr>
        <w:t>STRONGEST FUNDING OPPORTUNITIES</w:t>
      </w:r>
    </w:p>
    <w:p>
      <w:pPr>
        <w:keepNext w:val="0"/>
        <w:widowControl/>
        <w:spacing w:before="0" w:after="50" w:line="259" w:lineRule="auto"/>
      </w:pPr>
      <w:r>
        <w:rPr>
          <w:rFonts w:ascii="Arial" w:hAnsi="Arial"/>
          <w:b/>
          <w:color w:val="183B4E"/>
          <w:sz w:val="18"/>
        </w:rPr>
        <w:t xml:space="preserve">1  Core stewardship / creator fellowship - </w:t>
      </w:r>
      <w:r>
        <w:rPr>
          <w:rFonts w:ascii="Arial" w:hAnsi="Arial"/>
          <w:color w:val="18252B"/>
          <w:sz w:val="18"/>
        </w:rPr>
        <w:t>paid time for maintenance, documentation, user research, testing, boundaries and partnership development.</w:t>
      </w:r>
    </w:p>
    <w:p>
      <w:pPr>
        <w:keepNext w:val="0"/>
        <w:widowControl/>
        <w:spacing w:before="0" w:after="50" w:line="259" w:lineRule="auto"/>
      </w:pPr>
      <w:r>
        <w:rPr>
          <w:rFonts w:ascii="Arial" w:hAnsi="Arial"/>
          <w:b/>
          <w:color w:val="183B4E"/>
          <w:sz w:val="18"/>
        </w:rPr>
        <w:t xml:space="preserve">2  Independent evaluation and safeguarding - </w:t>
      </w:r>
      <w:r>
        <w:rPr>
          <w:rFonts w:ascii="Arial" w:hAnsi="Arial"/>
          <w:color w:val="18252B"/>
          <w:sz w:val="18"/>
        </w:rPr>
        <w:t>a research partnership to test benefits, limitations, differential impact and risk mitigation.</w:t>
      </w:r>
    </w:p>
    <w:p>
      <w:pPr>
        <w:keepNext w:val="0"/>
        <w:widowControl/>
        <w:spacing w:before="0" w:after="50" w:line="259" w:lineRule="auto"/>
      </w:pPr>
      <w:r>
        <w:rPr>
          <w:rFonts w:ascii="Arial" w:hAnsi="Arial"/>
          <w:b/>
          <w:color w:val="183B4E"/>
          <w:sz w:val="18"/>
        </w:rPr>
        <w:t xml:space="preserve">3  Responsible AI and public-interest infrastructure - </w:t>
      </w:r>
      <w:r>
        <w:rPr>
          <w:rFonts w:ascii="Arial" w:hAnsi="Arial"/>
          <w:color w:val="18252B"/>
          <w:sz w:val="18"/>
        </w:rPr>
        <w:t>accessible standalone delivery, improved reach and reduced dependence on a single platform.</w:t>
      </w:r>
    </w:p>
    <w:p>
      <w:pPr>
        <w:keepNext w:val="0"/>
        <w:widowControl/>
        <w:spacing w:before="0" w:after="100" w:line="259" w:lineRule="auto"/>
      </w:pPr>
      <w:r>
        <w:rPr>
          <w:rFonts w:ascii="Arial" w:hAnsi="Arial"/>
          <w:b/>
          <w:color w:val="183B4E"/>
          <w:sz w:val="18"/>
        </w:rPr>
        <w:t xml:space="preserve">4  Specialist social-impact partnerships - </w:t>
      </w:r>
      <w:r>
        <w:rPr>
          <w:rFonts w:ascii="Arial" w:hAnsi="Arial"/>
          <w:color w:val="18252B"/>
          <w:sz w:val="18"/>
        </w:rPr>
        <w:t>co-design and testing with domestic-abuse, women’s safety, neurodivergence, workplace and institutional-justice expertise.</w:t>
      </w:r>
    </w:p>
    <w:p>
      <w:pPr>
        <w:keepNext w:val="0"/>
        <w:widowControl/>
        <w:spacing w:before="0" w:after="0" w:line="259" w:lineRule="auto"/>
        <w:shd w:fill="F9EEEB" w:val="clear"/>
        <w:pBdr>
          <w:left w:val="single" w:sz="18" w:space="8" w:color="C85A4A"/>
        </w:pBdr>
      </w:pPr>
      <w:r>
        <w:rPr>
          <w:rFonts w:ascii="Arial" w:hAnsi="Arial"/>
          <w:b/>
          <w:color w:val="C85A4A"/>
          <w:sz w:val="18"/>
        </w:rPr>
        <w:t xml:space="preserve">Best fit  </w:t>
      </w:r>
      <w:r>
        <w:rPr>
          <w:rFonts w:ascii="Arial" w:hAnsi="Arial"/>
          <w:b/>
          <w:color w:val="18252B"/>
          <w:sz w:val="18"/>
        </w:rPr>
        <w:t>Fellowships and unrestricted public-interest funding; responsible-AI and technology-for-good grants; violence-against-women and domestic-abuse innovation funding; and university, charity or specialist-service evaluation partnerships.</w:t>
      </w:r>
    </w:p>
    <w:sectPr w:rsidR="00FC693F" w:rsidRPr="0006063C" w:rsidSect="00034616">
      <w:headerReference w:type="default" r:id="rId9"/>
      <w:footerReference w:type="default" r:id="rId10"/>
      <w:pgSz w:w="12240" w:h="15840"/>
      <w:pgMar w:top="979" w:right="1123" w:bottom="893" w:left="112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widowControl/>
      <w:spacing w:before="0" w:after="0" w:line="240" w:lineRule="auto"/>
      <w:jc w:val="left"/>
    </w:pPr>
    <w:r>
      <w:rPr>
        <w:rFonts w:ascii="Arial" w:hAnsi="Arial"/>
        <w:i/>
        <w:color w:val="52636B"/>
        <w:sz w:val="14"/>
      </w:rPr>
      <w:t>Evidence note: figures and qualitative claims are creator-reported and have not been independently verified.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widowControl/>
      <w:spacing w:before="0" w:after="0" w:line="240" w:lineRule="auto"/>
      <w:jc w:val="right"/>
    </w:pPr>
    <w:r>
      <w:rPr>
        <w:rFonts w:ascii="Arial" w:hAnsi="Arial"/>
        <w:b/>
        <w:color w:val="52636B"/>
        <w:sz w:val="15"/>
      </w:rPr>
      <w:t>FUNDING BRIEF  |  JULY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NotTrackMoves="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70" w:line="264" w:lineRule="auto"/>
    </w:pPr>
    <w:rPr>
      <w:rFonts w:ascii="Arial" w:hAnsi="Arial"/>
      <w:color w:val="18252B"/>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10" w:after="50"/>
      <w:outlineLvl w:val="0"/>
    </w:pPr>
    <w:rPr>
      <w:rFonts w:asciiTheme="majorHAnsi" w:eastAsiaTheme="majorEastAsia" w:hAnsiTheme="majorHAnsi" w:cstheme="majorBidi" w:ascii="Arial" w:hAnsi="Arial"/>
      <w:b/>
      <w:bCs/>
      <w:color w:val="147D79"/>
      <w:sz w:val="2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Brenda &amp; Frank - Funding Brief</dc:title>
  <dc:subject>One-page public-interest funding brief</dc:subject>
  <dc:creator>Brenda &amp; Frank project</dc:creator>
  <cp:keywords>Brenda and Frank; public-interest AI; funding; safeguarding; evaluation</cp:keywords>
  <dc:description>Prepared for exploratory conversations with potential funders and collaborators.</dc:description>
  <cp:lastModifiedBy/>
  <cp:revision>1</cp:revision>
  <dcterms:created xsi:type="dcterms:W3CDTF">2013-12-23T23:15:00Z</dcterms:created>
  <dcterms:modified xsi:type="dcterms:W3CDTF">2013-12-23T23:15:00Z</dcterms:modified>
  <cp:category/>
</cp:coreProperties>
</file>